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14 89 vom 13. November 2014</w:t>
      </w:r>
    </w:p>
    <w:p>
      <w:r>
        <w:t>VS Kantonsgericht, 2014-11-13, FR</w:t>
      </w:r>
    </w:p>
    <w:p>
      <w:r>
        <w:rPr>
          <w:b/>
        </w:rPr>
        <w:t xml:space="preserve">Quelle: </w:t>
      </w:r>
      <w:r>
        <w:t>https://mcp.opencaselaw.ch/entscheid/vs_gerichte_A1 14 89</w:t>
      </w:r>
    </w:p>
    <w:p>
      <w:r>
        <w:t>FR: VS_GERICHTE A1 14 89 du 13 novembre 2014</w:t>
      </w:r>
    </w:p>
    <w:p>
      <w:r>
        <w:t>IT: VS_GERICHTE A1 14 89 del 13 novembre 2014</w:t>
      </w:r>
    </w:p>
    <w:p>
      <w:pPr>
        <w:pStyle w:val="Heading2"/>
      </w:pPr>
      <w:r>
        <w:t>Regeste</w:t>
      </w:r>
    </w:p>
    <w:p>
      <w:r>
        <w:t>A1 14 89 ARRÊT DU 13 NOVEMBRE 2014 Tribunal cantonal du Valais Cour de droit public Composition : Jean-Pierre Zufferey, président ; Jean-Bernard Fournier et Thomas Brunner, juges, en la cause X_________, recourant, représenté par Maître A_________ contre CONSEIL D’ETAT DU CANTON DU VALAIS, ADMINISTRATION COMMUNALE DE B_________, autre autorité, et l’hoirie Y_________, agissant par C_________ (démolition - reconstruction d’un chalet) recours de droit administratif contre la décision du 22 janvier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 50 que procure cette panne sur ce côté du chalet, la terrasse de jardin au rez se prolongeant sur 4 m depuis l’enveloppe du bâtiment. On ne peut, ainsi, suivre la déci- sion attaquée en ce qu’elle calcule différemment la hauteur en fonction d’un point inférieur à la cote 1543 du moment que ce point ne fait pas partie de la façade déterminante du chalet dont il est éloigné d’environ 4 m 50, qu’il se présente comme un accès de service construit en dessous du sol naturel que la réglementation commu- nale exclut du calcul de la hauteur (art. 88 let. d RCC) à l’instar de ce qu’admet le droit cantonal pour des accès aux garages (art. 11 al. 4 LC ; définition du glossaire, al. 5) et</w:t>
      </w:r>
    </w:p>
    <w:p>
      <w:r>
        <w:t>- 7 - que l’hypothèse du calcul en fonction d’une prolongation théorique du faîte (toiture à 4 pans, al. 6 du glossaire) ne tient pas, cette panne dépassant déjà la façade à l’inverse des situations visées par le législateur pour trouver un point d’intersection.</w:t>
      </w:r>
    </w:p>
    <w:p>
      <w:r>
        <w:rPr>
          <w:b/>
        </w:rPr>
        <w:t>E. 3</w:t>
      </w:r>
    </w:p>
    <w:p>
      <w:r>
        <w:t>places de stationnement couvertes dessinées dans le garage sur la partie arrière du rez-de-chaussée. Pour le surplus, l’accès public est le même que celui qui dessert le chalet actuel, ainsi que la parcelle n° xxx3 de la recourante, et rien n’incite à y voir une desserte insuffisante au sens de l’article 19 al. 1 LAT pour ce quartier qui en constitue la fin d’un tronçon d’une voie publique sans issue. A défaut de motivation particulière démontrant une illégalité du permis communal sous cet aspect, il sera renvoyé pour le</w:t>
      </w:r>
    </w:p>
    <w:p>
      <w:r>
        <w:t>- 9 - surplus au point 2 in fine page 7 de la détermination du 22 octobre 2012 et ce motif écarté. 5.1 Attendu ce qui précède, le recours est admis, la décision du Conseil d’Etat annu- lée au fond et le permis communal confirmé avec l’avenant décidé le 29 avril 2014 (art. 80 al. 1 let. e et 60 al. 1 LPJA). 5.2 Vu l'issue du litige, les frais de la cause doivent être mis pour moitié à la charge de chacune des parties, cette répartition au compte du constructeur correspondant à la règle instaurée en cas de compléments en cours de procédure dans les cas de Lex Weber (arrêt 1 C_186/2014 du 17 juin 2014 cons. 3.4) ou dans d’autres hypothèses (arrêt 1C_847/2013 du 10 mars 2014 cons. 4.3), et au compte de l’opposante qui suc- combe sur le fond (art. 89 al. 1 LPJA et arrêt 1C_915/2013 du 6 octobre 2014 cons. 9.3). Il se justifie de compenser les dépens partiels auxquels a droit chacune des parties (art. 91 al. 1 LPJA et arrêt 1C_65/2014 du 6 octobre 2014 cons. 6). Le présent arrêt n’entraîne pas de modification de la répartition des frais et dépens devant le Conseil d’Etat, celle-ci étant dictée par un autre état de fait que celui tranché ce jour. 5.3 Compte tenu des critères d'appréciation et des limites des articles 13 al. 1 et 25 de la loi du 11 février 2009 fixant le tarif des frais et dépens devant les autorités judiciaires ou administratives (LTar ; RS/VS 173.8), l'émolument de justice est fixé à 1500 fr., débours compris (art. 11 LTar).</w:t>
      </w:r>
    </w:p>
    <w:p>
      <w:r>
        <w:t>Prononce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